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D616B0" w14:textId="77777777" w:rsidR="00980232" w:rsidRDefault="00980232" w:rsidP="00F808B4">
      <w:pPr>
        <w:pStyle w:val="NoSpacing"/>
        <w:jc w:val="center"/>
        <w:rPr>
          <w:rFonts w:ascii="Times New Roman" w:hAnsi="Times New Roman" w:cs="Times New Roman"/>
          <w:b/>
          <w:sz w:val="24"/>
          <w:szCs w:val="24"/>
          <w:u w:val="single"/>
        </w:rPr>
      </w:pPr>
      <w:bookmarkStart w:id="0" w:name="_GoBack"/>
      <w:bookmarkEnd w:id="0"/>
    </w:p>
    <w:p w14:paraId="1D312C3D" w14:textId="1ACAFC63" w:rsidR="00F808B4" w:rsidRPr="00980232" w:rsidRDefault="00F808B4" w:rsidP="00F808B4">
      <w:pPr>
        <w:pStyle w:val="NoSpacing"/>
        <w:jc w:val="center"/>
        <w:rPr>
          <w:rFonts w:ascii="Times New Roman" w:hAnsi="Times New Roman" w:cs="Times New Roman"/>
          <w:sz w:val="24"/>
          <w:szCs w:val="24"/>
          <w:u w:val="single"/>
        </w:rPr>
      </w:pPr>
      <w:r w:rsidRPr="00980232">
        <w:rPr>
          <w:rFonts w:ascii="Times New Roman" w:hAnsi="Times New Roman" w:cs="Times New Roman"/>
          <w:b/>
          <w:sz w:val="24"/>
          <w:szCs w:val="24"/>
          <w:u w:val="single"/>
        </w:rPr>
        <w:t xml:space="preserve">GRASSROOTS AMBASSADOR TALKING POINTS – </w:t>
      </w:r>
      <w:r w:rsidR="00E86137">
        <w:rPr>
          <w:rFonts w:ascii="Times New Roman" w:hAnsi="Times New Roman" w:cs="Times New Roman"/>
          <w:b/>
          <w:sz w:val="24"/>
          <w:szCs w:val="24"/>
          <w:u w:val="single"/>
        </w:rPr>
        <w:t xml:space="preserve">MARCH </w:t>
      </w:r>
      <w:r w:rsidR="003A1BC1">
        <w:rPr>
          <w:rFonts w:ascii="Times New Roman" w:hAnsi="Times New Roman" w:cs="Times New Roman"/>
          <w:b/>
          <w:sz w:val="24"/>
          <w:szCs w:val="24"/>
          <w:u w:val="single"/>
        </w:rPr>
        <w:t>201</w:t>
      </w:r>
      <w:r w:rsidR="00E86137">
        <w:rPr>
          <w:rFonts w:ascii="Times New Roman" w:hAnsi="Times New Roman" w:cs="Times New Roman"/>
          <w:b/>
          <w:sz w:val="24"/>
          <w:szCs w:val="24"/>
          <w:u w:val="single"/>
        </w:rPr>
        <w:t>9</w:t>
      </w:r>
    </w:p>
    <w:p w14:paraId="027AF2E3" w14:textId="77777777" w:rsidR="00F808B4" w:rsidRPr="00F808B4" w:rsidRDefault="00F808B4" w:rsidP="00F808B4">
      <w:pPr>
        <w:rPr>
          <w:rFonts w:ascii="Times New Roman" w:hAnsi="Times New Roman" w:cs="Times New Roman"/>
        </w:rPr>
      </w:pPr>
    </w:p>
    <w:p w14:paraId="79B1DA2D" w14:textId="293E342F" w:rsidR="00E86137" w:rsidRPr="00E86137" w:rsidRDefault="00F808B4" w:rsidP="00E86137">
      <w:pPr>
        <w:rPr>
          <w:rFonts w:ascii="Times New Roman" w:eastAsia="MS Mincho" w:hAnsi="Times New Roman" w:cs="Times New Roman"/>
          <w:kern w:val="18"/>
        </w:rPr>
      </w:pPr>
      <w:r w:rsidRPr="001B4232">
        <w:rPr>
          <w:rFonts w:ascii="Times New Roman" w:hAnsi="Times New Roman" w:cs="Times New Roman"/>
          <w:b/>
          <w:sz w:val="23"/>
          <w:szCs w:val="23"/>
          <w:u w:val="single"/>
        </w:rPr>
        <w:t>WOTUS</w:t>
      </w:r>
      <w:r w:rsidRPr="001B4232">
        <w:rPr>
          <w:rFonts w:ascii="Times New Roman" w:hAnsi="Times New Roman" w:cs="Times New Roman"/>
          <w:sz w:val="23"/>
          <w:szCs w:val="23"/>
        </w:rPr>
        <w:t xml:space="preserve"> </w:t>
      </w:r>
      <w:r w:rsidR="00B908A7" w:rsidRPr="001B4232">
        <w:rPr>
          <w:rFonts w:ascii="Times New Roman" w:hAnsi="Times New Roman" w:cs="Times New Roman"/>
          <w:sz w:val="23"/>
          <w:szCs w:val="23"/>
        </w:rPr>
        <w:t>–</w:t>
      </w:r>
      <w:r w:rsidRPr="001B4232">
        <w:rPr>
          <w:rFonts w:ascii="Times New Roman" w:hAnsi="Times New Roman" w:cs="Times New Roman"/>
          <w:sz w:val="23"/>
          <w:szCs w:val="23"/>
        </w:rPr>
        <w:t xml:space="preserve"> </w:t>
      </w:r>
      <w:r w:rsidR="00E86137" w:rsidRPr="00E86137">
        <w:rPr>
          <w:rFonts w:ascii="Times New Roman" w:eastAsia="MS Mincho" w:hAnsi="Times New Roman" w:cs="Times New Roman"/>
          <w:kern w:val="18"/>
        </w:rPr>
        <w:t>Since the Clean Water Rule (commonly known as “WOTUS”) was first proposed by the EPA and Army Corps of Engineers in 2014, GCSAA has repeatedly argued that its sweeping scope over rivers, streams, wetlands, and ditches would result in an expensive, unpredictable, and unnecessary permitting process for golf courses across the country.</w:t>
      </w:r>
      <w:r w:rsidR="00E86137">
        <w:rPr>
          <w:rFonts w:ascii="Times New Roman" w:eastAsia="MS Mincho" w:hAnsi="Times New Roman" w:cs="Times New Roman"/>
          <w:kern w:val="18"/>
        </w:rPr>
        <w:t xml:space="preserve"> </w:t>
      </w:r>
      <w:r w:rsidR="00E86137" w:rsidRPr="00E86137">
        <w:rPr>
          <w:rFonts w:ascii="Times New Roman" w:eastAsia="MS Mincho" w:hAnsi="Times New Roman" w:cs="Times New Roman"/>
          <w:kern w:val="18"/>
        </w:rPr>
        <w:t xml:space="preserve"> The Trump Administration proposed on February 14, 2019 a replacement rule that: </w:t>
      </w:r>
    </w:p>
    <w:p w14:paraId="370BE11E" w14:textId="694FF9FD" w:rsidR="00E86137" w:rsidRPr="00E86137" w:rsidRDefault="00E86137" w:rsidP="00E86137">
      <w:pPr>
        <w:numPr>
          <w:ilvl w:val="0"/>
          <w:numId w:val="8"/>
        </w:numPr>
        <w:spacing w:after="0" w:line="240" w:lineRule="auto"/>
        <w:jc w:val="both"/>
        <w:rPr>
          <w:rFonts w:ascii="Times New Roman" w:eastAsia="MS Mincho" w:hAnsi="Times New Roman" w:cs="Times New Roman"/>
          <w:kern w:val="18"/>
        </w:rPr>
      </w:pPr>
      <w:r w:rsidRPr="00E86137">
        <w:rPr>
          <w:rFonts w:ascii="Times New Roman" w:eastAsia="MS Mincho" w:hAnsi="Times New Roman" w:cs="Times New Roman"/>
          <w:b/>
          <w:kern w:val="18"/>
        </w:rPr>
        <w:t>Limits tributaries to naturally occurring surface water channels that contribute perennial or intermittent flow during the year</w:t>
      </w:r>
      <w:r w:rsidRPr="00E86137">
        <w:rPr>
          <w:rFonts w:ascii="Times New Roman" w:eastAsia="MS Mincho" w:hAnsi="Times New Roman" w:cs="Times New Roman"/>
          <w:kern w:val="18"/>
        </w:rPr>
        <w:t xml:space="preserve">.  To qualify as a tributary, a river or stream must have flow that occurs regularly </w:t>
      </w:r>
      <w:proofErr w:type="gramStart"/>
      <w:r w:rsidRPr="00E86137">
        <w:rPr>
          <w:rFonts w:ascii="Times New Roman" w:eastAsia="MS Mincho" w:hAnsi="Times New Roman" w:cs="Times New Roman"/>
          <w:kern w:val="18"/>
        </w:rPr>
        <w:t>during the course of</w:t>
      </w:r>
      <w:proofErr w:type="gramEnd"/>
      <w:r w:rsidRPr="00E86137">
        <w:rPr>
          <w:rFonts w:ascii="Times New Roman" w:eastAsia="MS Mincho" w:hAnsi="Times New Roman" w:cs="Times New Roman"/>
          <w:kern w:val="18"/>
        </w:rPr>
        <w:t xml:space="preserve"> a typical year and not in response to a storm or other precipitation event. </w:t>
      </w:r>
      <w:r>
        <w:rPr>
          <w:rFonts w:ascii="Times New Roman" w:eastAsia="MS Mincho" w:hAnsi="Times New Roman" w:cs="Times New Roman"/>
          <w:kern w:val="18"/>
        </w:rPr>
        <w:t>Therefore</w:t>
      </w:r>
      <w:r w:rsidRPr="00E86137">
        <w:rPr>
          <w:rFonts w:ascii="Times New Roman" w:eastAsia="MS Mincho" w:hAnsi="Times New Roman" w:cs="Times New Roman"/>
          <w:kern w:val="18"/>
        </w:rPr>
        <w:t xml:space="preserve">, ephemeral waters are not included.  Further, the new rule eliminates the bed, bank and OHWM concepts that would have otherwise included many ditches under federal jurisdiction.  </w:t>
      </w:r>
    </w:p>
    <w:p w14:paraId="5DC7FD9C" w14:textId="77777777" w:rsidR="00E86137" w:rsidRPr="00E86137" w:rsidRDefault="00E86137" w:rsidP="00E86137">
      <w:pPr>
        <w:numPr>
          <w:ilvl w:val="0"/>
          <w:numId w:val="8"/>
        </w:numPr>
        <w:spacing w:after="0" w:line="240" w:lineRule="auto"/>
        <w:jc w:val="both"/>
        <w:rPr>
          <w:rFonts w:ascii="Times New Roman" w:eastAsia="MS Mincho" w:hAnsi="Times New Roman" w:cs="Times New Roman"/>
          <w:kern w:val="18"/>
        </w:rPr>
      </w:pPr>
      <w:r w:rsidRPr="00E86137">
        <w:rPr>
          <w:rFonts w:ascii="Times New Roman" w:eastAsia="MS Mincho" w:hAnsi="Times New Roman" w:cs="Times New Roman"/>
          <w:b/>
          <w:kern w:val="18"/>
        </w:rPr>
        <w:t>Limits adjacent waters to those wetlands that either touch or have a direct hydrological surface connection to a larger body of water covered by the Clean Water Act</w:t>
      </w:r>
      <w:r w:rsidRPr="00E86137">
        <w:rPr>
          <w:rFonts w:ascii="Times New Roman" w:eastAsia="MS Mincho" w:hAnsi="Times New Roman" w:cs="Times New Roman"/>
          <w:kern w:val="18"/>
        </w:rPr>
        <w:t xml:space="preserve">.   So, wetlands separated by a physical barrier and lack a direct connection to navigable waters, lakes or ponds are not included.  The bordering, contiguous, and neighboring concepts found in the 2015 WOTUS rule are removed.  </w:t>
      </w:r>
    </w:p>
    <w:p w14:paraId="21A1C177" w14:textId="5587B644" w:rsidR="00E86137" w:rsidRDefault="00E86137" w:rsidP="00E86137">
      <w:pPr>
        <w:spacing w:after="0" w:line="240" w:lineRule="auto"/>
        <w:jc w:val="both"/>
        <w:rPr>
          <w:rFonts w:ascii="Times New Roman" w:eastAsia="MS Mincho" w:hAnsi="Times New Roman" w:cs="Times New Roman"/>
          <w:b/>
          <w:kern w:val="18"/>
        </w:rPr>
      </w:pPr>
    </w:p>
    <w:p w14:paraId="76580ACB" w14:textId="14574A1C" w:rsidR="00E86137" w:rsidRPr="00E86137" w:rsidRDefault="00E86137" w:rsidP="00E86137">
      <w:pPr>
        <w:spacing w:after="0" w:line="240" w:lineRule="auto"/>
        <w:rPr>
          <w:rFonts w:ascii="Times New Roman" w:eastAsia="MS Mincho" w:hAnsi="Times New Roman" w:cs="Times New Roman"/>
          <w:b/>
          <w:i/>
          <w:kern w:val="18"/>
        </w:rPr>
      </w:pPr>
      <w:r w:rsidRPr="00E86137">
        <w:rPr>
          <w:rFonts w:ascii="Times New Roman" w:eastAsia="MS Mincho" w:hAnsi="Times New Roman" w:cs="Times New Roman"/>
          <w:b/>
          <w:i/>
          <w:kern w:val="18"/>
        </w:rPr>
        <w:t>GCSAA will lead the</w:t>
      </w:r>
      <w:r>
        <w:rPr>
          <w:rFonts w:ascii="Times New Roman" w:eastAsia="MS Mincho" w:hAnsi="Times New Roman" w:cs="Times New Roman"/>
          <w:b/>
          <w:i/>
          <w:kern w:val="18"/>
        </w:rPr>
        <w:t xml:space="preserve"> golf</w:t>
      </w:r>
      <w:r w:rsidRPr="00E86137">
        <w:rPr>
          <w:rFonts w:ascii="Times New Roman" w:eastAsia="MS Mincho" w:hAnsi="Times New Roman" w:cs="Times New Roman"/>
          <w:b/>
          <w:i/>
          <w:kern w:val="18"/>
        </w:rPr>
        <w:t xml:space="preserve"> industry’s response to this rule and provide comments that ensure that decision-makers consider its impact on golf.  GCSAA will continue to support water conservation and water quality protection that is based on sound science and credible data and promote the values of professionally managed landscapes.</w:t>
      </w:r>
    </w:p>
    <w:p w14:paraId="2AA306AF" w14:textId="77777777" w:rsidR="00E86137" w:rsidRPr="00E86137" w:rsidRDefault="00E86137" w:rsidP="00E86137">
      <w:pPr>
        <w:spacing w:after="0" w:line="240" w:lineRule="auto"/>
        <w:jc w:val="center"/>
        <w:rPr>
          <w:rFonts w:ascii="Times New Roman" w:eastAsia="MS Mincho" w:hAnsi="Times New Roman" w:cs="Times New Roman"/>
          <w:b/>
          <w:i/>
          <w:kern w:val="18"/>
        </w:rPr>
      </w:pPr>
    </w:p>
    <w:p w14:paraId="0CA7D4DB" w14:textId="241DA3E6" w:rsidR="00E86137" w:rsidRPr="00BD6BBC" w:rsidRDefault="00B908A7" w:rsidP="00BD6BBC">
      <w:pPr>
        <w:rPr>
          <w:rFonts w:ascii="Times New Roman" w:hAnsi="Times New Roman" w:cs="Times New Roman"/>
        </w:rPr>
      </w:pPr>
      <w:r w:rsidRPr="00BD6BBC">
        <w:rPr>
          <w:rFonts w:ascii="Times New Roman" w:hAnsi="Times New Roman" w:cs="Times New Roman"/>
          <w:b/>
          <w:u w:val="single"/>
        </w:rPr>
        <w:t>NPDES PERMITTING</w:t>
      </w:r>
      <w:r w:rsidRPr="00BD6BBC">
        <w:rPr>
          <w:rFonts w:ascii="Times New Roman" w:hAnsi="Times New Roman" w:cs="Times New Roman"/>
        </w:rPr>
        <w:t xml:space="preserve"> – </w:t>
      </w:r>
      <w:r w:rsidR="00E86137" w:rsidRPr="00BD6BBC">
        <w:rPr>
          <w:rFonts w:ascii="Times New Roman" w:hAnsi="Times New Roman" w:cs="Times New Roman"/>
        </w:rPr>
        <w:t xml:space="preserve">GCSAA supports passage of </w:t>
      </w:r>
      <w:r w:rsidR="00E86137" w:rsidRPr="00BD6BBC">
        <w:rPr>
          <w:rFonts w:ascii="Times New Roman" w:hAnsi="Times New Roman" w:cs="Times New Roman"/>
          <w:b/>
        </w:rPr>
        <w:t>H.R. 890, the “Reducing EPA Duplication to Advance Pesticide Enforcement Act (REDTAPE Act),”</w:t>
      </w:r>
      <w:r w:rsidR="00E86137" w:rsidRPr="00BD6BBC">
        <w:rPr>
          <w:rFonts w:ascii="Times New Roman" w:hAnsi="Times New Roman" w:cs="Times New Roman"/>
        </w:rPr>
        <w:t xml:space="preserve"> sponsored by Congressman Bob Gibbs (R-OH-7), which would negate the need for federal Clean Water Act (CWA) National Pollutant Discharge Elimination System (NPDES) permits for chemical spraying activities made in accordance with the Federal, Insecticide, Fungicide, and Rodenticide Act (FIFRA). </w:t>
      </w:r>
    </w:p>
    <w:p w14:paraId="6E0B0FFA" w14:textId="72631A5A" w:rsidR="00E86137" w:rsidRPr="00BD6BBC" w:rsidRDefault="00E86137" w:rsidP="00BD6BBC">
      <w:pPr>
        <w:pStyle w:val="ListParagraph"/>
        <w:numPr>
          <w:ilvl w:val="0"/>
          <w:numId w:val="10"/>
        </w:numPr>
        <w:rPr>
          <w:rFonts w:ascii="Times New Roman" w:hAnsi="Times New Roman" w:cs="Times New Roman"/>
        </w:rPr>
      </w:pPr>
      <w:r w:rsidRPr="00BD6BBC">
        <w:rPr>
          <w:rFonts w:ascii="Times New Roman" w:hAnsi="Times New Roman" w:cs="Times New Roman"/>
          <w:b/>
        </w:rPr>
        <w:t xml:space="preserve">Pesticides are already highly regulated under FIFRA. </w:t>
      </w:r>
      <w:r w:rsidRPr="00BD6BBC">
        <w:rPr>
          <w:rFonts w:ascii="Times New Roman" w:hAnsi="Times New Roman" w:cs="Times New Roman"/>
        </w:rPr>
        <w:t xml:space="preserve">Products used for aquatic plant management are already subjected to an intensive approval process by the EPA before they can be registered. FIFRA already requires that the EPA ensure that pesticides cause ‘no unreasonable adverse effect’ to humans or the environment – including water quality and aquatic species - and that use labels are crafted to protect these resources. The label is the law: </w:t>
      </w:r>
      <w:r w:rsidRPr="00BD6BBC">
        <w:rPr>
          <w:rFonts w:ascii="Times New Roman" w:hAnsi="Times New Roman" w:cs="Times New Roman"/>
          <w:i/>
        </w:rPr>
        <w:t>users who do not follow the pesticide label are in violation of federal law even without a water permit.</w:t>
      </w:r>
    </w:p>
    <w:p w14:paraId="008BDE22" w14:textId="77777777" w:rsidR="00E86137" w:rsidRPr="00BD6BBC" w:rsidRDefault="00E86137" w:rsidP="00BD6BBC">
      <w:pPr>
        <w:pStyle w:val="ListParagraph"/>
        <w:numPr>
          <w:ilvl w:val="0"/>
          <w:numId w:val="10"/>
        </w:numPr>
        <w:rPr>
          <w:b/>
        </w:rPr>
      </w:pPr>
      <w:r w:rsidRPr="00BD6BBC">
        <w:rPr>
          <w:rFonts w:ascii="Times New Roman" w:hAnsi="Times New Roman" w:cs="Times New Roman"/>
          <w:b/>
        </w:rPr>
        <w:t xml:space="preserve">Litigation forced EPA to permit many types of pesticide applications under the CWA </w:t>
      </w:r>
      <w:proofErr w:type="gramStart"/>
      <w:r w:rsidRPr="00BD6BBC">
        <w:rPr>
          <w:rFonts w:ascii="Times New Roman" w:hAnsi="Times New Roman" w:cs="Times New Roman"/>
          <w:b/>
        </w:rPr>
        <w:t>despite the fact that</w:t>
      </w:r>
      <w:proofErr w:type="gramEnd"/>
      <w:r w:rsidRPr="00BD6BBC">
        <w:rPr>
          <w:rFonts w:ascii="Times New Roman" w:hAnsi="Times New Roman" w:cs="Times New Roman"/>
          <w:b/>
        </w:rPr>
        <w:t xml:space="preserve"> pesticides are strictly regulated under FIFRA.</w:t>
      </w:r>
      <w:r w:rsidRPr="00BD6BBC">
        <w:rPr>
          <w:rFonts w:ascii="Times New Roman" w:hAnsi="Times New Roman" w:cs="Times New Roman"/>
        </w:rPr>
        <w:t xml:space="preserve"> </w:t>
      </w:r>
      <w:r w:rsidRPr="00BD6BBC">
        <w:rPr>
          <w:rFonts w:ascii="Times New Roman" w:hAnsi="Times New Roman" w:cs="Times New Roman"/>
          <w:color w:val="000000"/>
        </w:rPr>
        <w:t>Activist lawsuits against the EPA, as well as agricultural and non-farm users, have compelled Congress to seek to clarify that the CWA was not intended to permit pesticide applications.</w:t>
      </w:r>
    </w:p>
    <w:p w14:paraId="3240825C" w14:textId="2CF33776" w:rsidR="00FB5082" w:rsidRDefault="00FB5082" w:rsidP="00FB5082">
      <w:pPr>
        <w:pStyle w:val="NoSpacing"/>
        <w:rPr>
          <w:rFonts w:ascii="Times New Roman" w:hAnsi="Times New Roman" w:cs="Times New Roman"/>
          <w:sz w:val="23"/>
          <w:szCs w:val="23"/>
        </w:rPr>
      </w:pPr>
      <w:r w:rsidRPr="001B4232">
        <w:rPr>
          <w:rFonts w:ascii="Times New Roman" w:hAnsi="Times New Roman" w:cs="Times New Roman"/>
          <w:b/>
          <w:sz w:val="23"/>
          <w:szCs w:val="23"/>
          <w:u w:val="single"/>
        </w:rPr>
        <w:t>H-2B VISA PROGRAM</w:t>
      </w:r>
      <w:r w:rsidRPr="001B4232">
        <w:rPr>
          <w:rFonts w:ascii="Times New Roman" w:hAnsi="Times New Roman" w:cs="Times New Roman"/>
          <w:sz w:val="23"/>
          <w:szCs w:val="23"/>
        </w:rPr>
        <w:t xml:space="preserve"> – The H-2B visa program is critical to the $</w:t>
      </w:r>
      <w:r w:rsidR="00F2327F">
        <w:rPr>
          <w:rFonts w:ascii="Times New Roman" w:hAnsi="Times New Roman" w:cs="Times New Roman"/>
          <w:sz w:val="23"/>
          <w:szCs w:val="23"/>
        </w:rPr>
        <w:t>84</w:t>
      </w:r>
      <w:r w:rsidRPr="001B4232">
        <w:rPr>
          <w:rFonts w:ascii="Times New Roman" w:hAnsi="Times New Roman" w:cs="Times New Roman"/>
          <w:sz w:val="23"/>
          <w:szCs w:val="23"/>
        </w:rPr>
        <w:t xml:space="preserve"> Billion U.S. Golf Industry. According to D</w:t>
      </w:r>
      <w:r w:rsidR="005E2256" w:rsidRPr="001B4232">
        <w:rPr>
          <w:rFonts w:ascii="Times New Roman" w:hAnsi="Times New Roman" w:cs="Times New Roman"/>
          <w:sz w:val="23"/>
          <w:szCs w:val="23"/>
        </w:rPr>
        <w:t xml:space="preserve">epartment of Labor </w:t>
      </w:r>
      <w:r w:rsidRPr="001B4232">
        <w:rPr>
          <w:rFonts w:ascii="Times New Roman" w:hAnsi="Times New Roman" w:cs="Times New Roman"/>
          <w:sz w:val="23"/>
          <w:szCs w:val="23"/>
        </w:rPr>
        <w:t>statistics, in 2006, golf facilities (including resorts) asked for approximately 26,000 H-2B visa workers – of that number over 7,700 were for golf course maintenance positions.</w:t>
      </w:r>
    </w:p>
    <w:p w14:paraId="09A38549" w14:textId="77777777" w:rsidR="00BD6BBC" w:rsidRPr="001B4232" w:rsidRDefault="00BD6BBC" w:rsidP="00FB5082">
      <w:pPr>
        <w:pStyle w:val="NoSpacing"/>
        <w:rPr>
          <w:rFonts w:ascii="Times New Roman" w:hAnsi="Times New Roman" w:cs="Times New Roman"/>
          <w:sz w:val="23"/>
          <w:szCs w:val="23"/>
        </w:rPr>
      </w:pPr>
    </w:p>
    <w:p w14:paraId="302E0262" w14:textId="5816FD9B" w:rsidR="00BD6BBC" w:rsidRPr="00BD6BBC" w:rsidRDefault="005E2256" w:rsidP="00BD6BBC">
      <w:pPr>
        <w:pStyle w:val="ListParagraph"/>
        <w:numPr>
          <w:ilvl w:val="0"/>
          <w:numId w:val="11"/>
        </w:numPr>
        <w:rPr>
          <w:rFonts w:ascii="Times New Roman" w:hAnsi="Times New Roman" w:cs="Times New Roman"/>
        </w:rPr>
      </w:pPr>
      <w:r w:rsidRPr="00BD6BBC">
        <w:rPr>
          <w:rFonts w:ascii="Times New Roman" w:hAnsi="Times New Roman" w:cs="Times New Roman"/>
        </w:rPr>
        <w:t>T</w:t>
      </w:r>
      <w:r w:rsidR="00FB5082" w:rsidRPr="00BD6BBC">
        <w:rPr>
          <w:rFonts w:ascii="Times New Roman" w:hAnsi="Times New Roman" w:cs="Times New Roman"/>
        </w:rPr>
        <w:t xml:space="preserve">he program's </w:t>
      </w:r>
      <w:r w:rsidR="00FB5082" w:rsidRPr="00BD6BBC">
        <w:rPr>
          <w:rFonts w:ascii="Times New Roman" w:hAnsi="Times New Roman" w:cs="Times New Roman"/>
          <w:b/>
        </w:rPr>
        <w:t>congressionally mandated cap of 66,000</w:t>
      </w:r>
      <w:r w:rsidR="00FB5082" w:rsidRPr="00BD6BBC">
        <w:rPr>
          <w:rFonts w:ascii="Times New Roman" w:hAnsi="Times New Roman" w:cs="Times New Roman"/>
        </w:rPr>
        <w:t xml:space="preserve"> (33,000 for each half of the fiscal year) </w:t>
      </w:r>
      <w:r w:rsidR="002A258E" w:rsidRPr="00BD6BBC">
        <w:rPr>
          <w:rFonts w:ascii="Times New Roman" w:hAnsi="Times New Roman" w:cs="Times New Roman"/>
        </w:rPr>
        <w:t xml:space="preserve">has historically been </w:t>
      </w:r>
      <w:r w:rsidR="00FB5082" w:rsidRPr="00BD6BBC">
        <w:rPr>
          <w:rFonts w:ascii="Times New Roman" w:hAnsi="Times New Roman" w:cs="Times New Roman"/>
        </w:rPr>
        <w:t>inadequate to meet the seasonal needs of small businesses</w:t>
      </w:r>
      <w:r w:rsidR="002A258E" w:rsidRPr="00BD6BBC">
        <w:rPr>
          <w:rFonts w:ascii="Times New Roman" w:hAnsi="Times New Roman" w:cs="Times New Roman"/>
        </w:rPr>
        <w:t xml:space="preserve"> such as golf</w:t>
      </w:r>
      <w:r w:rsidR="00BD6BBC">
        <w:rPr>
          <w:rFonts w:ascii="Times New Roman" w:hAnsi="Times New Roman" w:cs="Times New Roman"/>
        </w:rPr>
        <w:t xml:space="preserve"> courses. </w:t>
      </w:r>
    </w:p>
    <w:p w14:paraId="33DDF8E3" w14:textId="2BCE2809" w:rsidR="007033A0" w:rsidRPr="00BD6BBC" w:rsidRDefault="00BD6BBC" w:rsidP="00BD6BBC">
      <w:pPr>
        <w:pStyle w:val="ListParagraph"/>
        <w:numPr>
          <w:ilvl w:val="0"/>
          <w:numId w:val="11"/>
        </w:numPr>
        <w:rPr>
          <w:rFonts w:ascii="Times New Roman" w:hAnsi="Times New Roman" w:cs="Times New Roman"/>
          <w:b/>
        </w:rPr>
      </w:pPr>
      <w:r w:rsidRPr="00BD6BBC">
        <w:rPr>
          <w:rFonts w:ascii="Times New Roman" w:hAnsi="Times New Roman" w:cs="Times New Roman"/>
        </w:rPr>
        <w:t xml:space="preserve">GCSAA supports Congress reintroducing legislation similar to H.R. 2004, the SEASON Act and S. 792, the Save Our Small and Seasonal Businesses Act, both from 2017, which would provide </w:t>
      </w:r>
      <w:r w:rsidRPr="00BD6BBC">
        <w:rPr>
          <w:rFonts w:ascii="Times New Roman" w:hAnsi="Times New Roman" w:cs="Times New Roman"/>
          <w:b/>
        </w:rPr>
        <w:t>long term cap relief</w:t>
      </w:r>
      <w:r w:rsidRPr="00BD6BBC">
        <w:rPr>
          <w:rFonts w:ascii="Times New Roman" w:hAnsi="Times New Roman" w:cs="Times New Roman"/>
        </w:rPr>
        <w:t xml:space="preserve"> by making the H-2B Returning Worker Exemption permanent and streamline and expedite processing of H-2B applications.</w:t>
      </w:r>
    </w:p>
    <w:p w14:paraId="72CD684D" w14:textId="77777777" w:rsidR="00BD6BBC" w:rsidRDefault="00BD6BBC" w:rsidP="00BD6BBC">
      <w:pPr>
        <w:pStyle w:val="BodyText2"/>
        <w:spacing w:after="0" w:line="240" w:lineRule="auto"/>
        <w:rPr>
          <w:rFonts w:ascii="Times New Roman" w:hAnsi="Times New Roman"/>
          <w:b/>
          <w:i/>
          <w:sz w:val="22"/>
          <w:szCs w:val="22"/>
        </w:rPr>
      </w:pPr>
    </w:p>
    <w:p w14:paraId="1178C7D4" w14:textId="6196D745" w:rsidR="00BD6BBC" w:rsidRPr="00BD04D6" w:rsidRDefault="00BD6BBC" w:rsidP="00BD6BBC">
      <w:pPr>
        <w:pStyle w:val="BodyText2"/>
        <w:spacing w:after="0" w:line="240" w:lineRule="auto"/>
        <w:rPr>
          <w:rFonts w:ascii="Times New Roman" w:hAnsi="Times New Roman"/>
          <w:b/>
          <w:i/>
          <w:sz w:val="22"/>
          <w:szCs w:val="22"/>
        </w:rPr>
      </w:pPr>
      <w:r w:rsidRPr="00BD04D6">
        <w:rPr>
          <w:rFonts w:ascii="Times New Roman" w:hAnsi="Times New Roman"/>
          <w:b/>
          <w:i/>
          <w:sz w:val="22"/>
          <w:szCs w:val="22"/>
        </w:rPr>
        <w:t>By filling temporary jobs, H-2B workers not only keep businesses open, they contribute to the creation of year-round jobs for American workers.  Studies show that every H-2B position supports 4.6 American jobs.</w:t>
      </w:r>
    </w:p>
    <w:p w14:paraId="1EE2B27F" w14:textId="77777777" w:rsidR="00BD6BBC" w:rsidRPr="00BD6BBC" w:rsidRDefault="00BD6BBC" w:rsidP="00BD6BBC">
      <w:pPr>
        <w:autoSpaceDE w:val="0"/>
        <w:autoSpaceDN w:val="0"/>
        <w:adjustRightInd w:val="0"/>
        <w:spacing w:after="0" w:line="240" w:lineRule="auto"/>
        <w:rPr>
          <w:rFonts w:ascii="Times New Roman" w:hAnsi="Times New Roman"/>
          <w:b/>
          <w:sz w:val="23"/>
          <w:szCs w:val="23"/>
        </w:rPr>
      </w:pPr>
    </w:p>
    <w:sectPr w:rsidR="00BD6BBC" w:rsidRPr="00BD6BBC" w:rsidSect="00980232">
      <w:headerReference w:type="default" r:id="rId7"/>
      <w:footerReference w:type="default" r:id="rId8"/>
      <w:pgSz w:w="12240" w:h="15840"/>
      <w:pgMar w:top="180" w:right="720" w:bottom="720" w:left="720" w:header="315"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064F7D" w14:textId="77777777" w:rsidR="002F0A46" w:rsidRDefault="002F0A46" w:rsidP="00F808B4">
      <w:pPr>
        <w:spacing w:after="0" w:line="240" w:lineRule="auto"/>
      </w:pPr>
      <w:r>
        <w:separator/>
      </w:r>
    </w:p>
  </w:endnote>
  <w:endnote w:type="continuationSeparator" w:id="0">
    <w:p w14:paraId="75904C77" w14:textId="77777777" w:rsidR="002F0A46" w:rsidRDefault="002F0A46" w:rsidP="00F808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E3599" w14:textId="77777777" w:rsidR="00A51A9A" w:rsidRPr="00A51A9A" w:rsidRDefault="00A51A9A" w:rsidP="00A51A9A">
    <w:pPr>
      <w:pStyle w:val="Footer"/>
      <w:rPr>
        <w:rFonts w:ascii="Gill Sans MT" w:eastAsia="MS Mincho" w:hAnsi="Gill Sans MT" w:cs="Times New Roman"/>
        <w:i/>
        <w:color w:val="808080"/>
        <w:kern w:val="18"/>
        <w:sz w:val="16"/>
        <w:szCs w:val="16"/>
      </w:rPr>
    </w:pPr>
    <w:r w:rsidRPr="00A51A9A">
      <w:rPr>
        <w:rFonts w:ascii="Gill Sans MT" w:eastAsia="MS Mincho" w:hAnsi="Gill Sans MT" w:cs="Times New Roman"/>
        <w:i/>
        <w:color w:val="808080"/>
        <w:kern w:val="18"/>
        <w:sz w:val="16"/>
        <w:szCs w:val="16"/>
      </w:rPr>
      <w:t>GCSAA is dedicated to serving its members, advancing their profession, and enhancing the enjoyment, growth and vitality of the game of golf.</w:t>
    </w:r>
  </w:p>
  <w:p w14:paraId="202AFA09" w14:textId="77777777" w:rsidR="00A51A9A" w:rsidRDefault="00A51A9A">
    <w:pPr>
      <w:pStyle w:val="Footer"/>
    </w:pPr>
  </w:p>
  <w:p w14:paraId="2BC701BD" w14:textId="77777777" w:rsidR="00A51A9A" w:rsidRDefault="00A51A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A1E239" w14:textId="77777777" w:rsidR="002F0A46" w:rsidRDefault="002F0A46" w:rsidP="00F808B4">
      <w:pPr>
        <w:spacing w:after="0" w:line="240" w:lineRule="auto"/>
      </w:pPr>
      <w:r>
        <w:separator/>
      </w:r>
    </w:p>
  </w:footnote>
  <w:footnote w:type="continuationSeparator" w:id="0">
    <w:p w14:paraId="0D51AB6C" w14:textId="77777777" w:rsidR="002F0A46" w:rsidRDefault="002F0A46" w:rsidP="00F808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5E9AA" w14:textId="77777777" w:rsidR="00F808B4" w:rsidRPr="00823710" w:rsidRDefault="00F808B4" w:rsidP="00F808B4">
    <w:r>
      <w:rPr>
        <w:rFonts w:ascii="Times New Roman" w:hAnsi="Times New Roman"/>
        <w:noProof/>
      </w:rPr>
      <mc:AlternateContent>
        <mc:Choice Requires="wps">
          <w:drawing>
            <wp:anchor distT="0" distB="0" distL="114300" distR="114300" simplePos="0" relativeHeight="251659264" behindDoc="0" locked="0" layoutInCell="1" allowOverlap="1" wp14:anchorId="1EB81C06" wp14:editId="1817E2F5">
              <wp:simplePos x="0" y="0"/>
              <wp:positionH relativeFrom="column">
                <wp:posOffset>1924050</wp:posOffset>
              </wp:positionH>
              <wp:positionV relativeFrom="paragraph">
                <wp:posOffset>152400</wp:posOffset>
              </wp:positionV>
              <wp:extent cx="3622675" cy="52387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2675"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15D72A" w14:textId="77777777" w:rsidR="00F808B4" w:rsidRPr="00075B97" w:rsidRDefault="00F808B4" w:rsidP="00F808B4">
                          <w:pPr>
                            <w:rPr>
                              <w:rFonts w:ascii="Gill Sans MT" w:hAnsi="Gill Sans MT" w:cs="Arial"/>
                              <w:b/>
                              <w:sz w:val="16"/>
                              <w:szCs w:val="16"/>
                            </w:rPr>
                          </w:pPr>
                          <w:r w:rsidRPr="00075B97">
                            <w:rPr>
                              <w:rFonts w:ascii="Gill Sans MT" w:hAnsi="Gill Sans MT" w:cs="Arial"/>
                              <w:b/>
                              <w:sz w:val="16"/>
                              <w:szCs w:val="16"/>
                            </w:rPr>
                            <w:t>Golf Course Superintendents Association of America</w:t>
                          </w:r>
                        </w:p>
                        <w:p w14:paraId="44EC3635" w14:textId="77777777" w:rsidR="00F808B4" w:rsidRPr="00540093" w:rsidRDefault="00F808B4" w:rsidP="00F808B4">
                          <w:pPr>
                            <w:rPr>
                              <w:rFonts w:ascii="Gill Sans MT" w:hAnsi="Gill Sans MT" w:cs="Arial"/>
                              <w:color w:val="808080"/>
                              <w:sz w:val="16"/>
                              <w:szCs w:val="16"/>
                            </w:rPr>
                          </w:pPr>
                          <w:r w:rsidRPr="00540093">
                            <w:rPr>
                              <w:rFonts w:ascii="Gill Sans MT" w:hAnsi="Gill Sans MT" w:cs="Arial"/>
                              <w:color w:val="808080"/>
                              <w:sz w:val="16"/>
                              <w:szCs w:val="16"/>
                            </w:rPr>
                            <w:t>1421 Research Park Drive • Lawrence, KS 66049-3859 • 800-472-7878</w:t>
                          </w:r>
                        </w:p>
                        <w:p w14:paraId="34E861D3" w14:textId="77777777" w:rsidR="00F808B4" w:rsidRDefault="00F808B4" w:rsidP="00F808B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EB81C06" id="_x0000_t202" coordsize="21600,21600" o:spt="202" path="m,l,21600r21600,l21600,xe">
              <v:stroke joinstyle="miter"/>
              <v:path gradientshapeok="t" o:connecttype="rect"/>
            </v:shapetype>
            <v:shape id="Text Box 4" o:spid="_x0000_s1026" type="#_x0000_t202" style="position:absolute;margin-left:151.5pt;margin-top:12pt;width:285.25pt;height:4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" filled="f" stroked="f">
              <v:textbox>
                <w:txbxContent>
                  <w:p w14:paraId="3415D72A" w14:textId="77777777" w:rsidR="00F808B4" w:rsidRPr="00075B97" w:rsidRDefault="00F808B4" w:rsidP="00F808B4">
                    <w:pPr>
                      <w:rPr>
                        <w:rFonts w:ascii="Gill Sans MT" w:hAnsi="Gill Sans MT" w:cs="Arial"/>
                        <w:b/>
                        <w:sz w:val="16"/>
                        <w:szCs w:val="16"/>
                      </w:rPr>
                    </w:pPr>
                    <w:r w:rsidRPr="00075B97">
                      <w:rPr>
                        <w:rFonts w:ascii="Gill Sans MT" w:hAnsi="Gill Sans MT" w:cs="Arial"/>
                        <w:b/>
                        <w:sz w:val="16"/>
                        <w:szCs w:val="16"/>
                      </w:rPr>
                      <w:t>Golf Course Superintendents Association of America</w:t>
                    </w:r>
                  </w:p>
                  <w:p w14:paraId="44EC3635" w14:textId="77777777" w:rsidR="00F808B4" w:rsidRPr="00540093" w:rsidRDefault="00F808B4" w:rsidP="00F808B4">
                    <w:pPr>
                      <w:rPr>
                        <w:rFonts w:ascii="Gill Sans MT" w:hAnsi="Gill Sans MT" w:cs="Arial"/>
                        <w:color w:val="808080"/>
                        <w:sz w:val="16"/>
                        <w:szCs w:val="16"/>
                      </w:rPr>
                    </w:pPr>
                    <w:r w:rsidRPr="00540093">
                      <w:rPr>
                        <w:rFonts w:ascii="Gill Sans MT" w:hAnsi="Gill Sans MT" w:cs="Arial"/>
                        <w:color w:val="808080"/>
                        <w:sz w:val="16"/>
                        <w:szCs w:val="16"/>
                      </w:rPr>
                      <w:t>1421 Research Park Drive • Lawrence, KS 66049-3859 • 800-472-7878</w:t>
                    </w:r>
                  </w:p>
                  <w:p w14:paraId="34E861D3" w14:textId="77777777" w:rsidR="00F808B4" w:rsidRDefault="00F808B4" w:rsidP="00F808B4"/>
                </w:txbxContent>
              </v:textbox>
            </v:shape>
          </w:pict>
        </mc:Fallback>
      </mc:AlternateContent>
    </w:r>
    <w:r>
      <w:rPr>
        <w:noProof/>
      </w:rPr>
      <w:drawing>
        <wp:inline distT="0" distB="0" distL="0" distR="0" wp14:anchorId="676A7D22" wp14:editId="7B4F8107">
          <wp:extent cx="1800225" cy="485775"/>
          <wp:effectExtent l="0" t="0" r="9525" b="9525"/>
          <wp:docPr id="35" name="Picture 35" descr="GCSAA logo(full-name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CSAA logo(full-name4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485775"/>
                  </a:xfrm>
                  <a:prstGeom prst="rect">
                    <a:avLst/>
                  </a:prstGeom>
                  <a:noFill/>
                  <a:ln>
                    <a:noFill/>
                  </a:ln>
                </pic:spPr>
              </pic:pic>
            </a:graphicData>
          </a:graphic>
        </wp:inline>
      </w:drawing>
    </w:r>
    <w:r w:rsidRPr="00823710">
      <w:t xml:space="preserve">    </w:t>
    </w:r>
  </w:p>
  <w:p w14:paraId="1C31D95B" w14:textId="77777777" w:rsidR="00F808B4" w:rsidRDefault="00F808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54AF3"/>
    <w:multiLevelType w:val="hybridMultilevel"/>
    <w:tmpl w:val="FCEC8F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EA55FE"/>
    <w:multiLevelType w:val="hybridMultilevel"/>
    <w:tmpl w:val="7388B0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9033FC7"/>
    <w:multiLevelType w:val="hybridMultilevel"/>
    <w:tmpl w:val="EA08E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04492B"/>
    <w:multiLevelType w:val="hybridMultilevel"/>
    <w:tmpl w:val="69FE9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2E4503"/>
    <w:multiLevelType w:val="hybridMultilevel"/>
    <w:tmpl w:val="54DA8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996E39"/>
    <w:multiLevelType w:val="hybridMultilevel"/>
    <w:tmpl w:val="A9CA5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944406"/>
    <w:multiLevelType w:val="hybridMultilevel"/>
    <w:tmpl w:val="C66CA4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6262EC1"/>
    <w:multiLevelType w:val="hybridMultilevel"/>
    <w:tmpl w:val="C14AEF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BC323D9"/>
    <w:multiLevelType w:val="hybridMultilevel"/>
    <w:tmpl w:val="DEE6D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985CD2"/>
    <w:multiLevelType w:val="hybridMultilevel"/>
    <w:tmpl w:val="7AE65D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F925C9F"/>
    <w:multiLevelType w:val="hybridMultilevel"/>
    <w:tmpl w:val="259C5B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10"/>
  </w:num>
  <w:num w:numId="3">
    <w:abstractNumId w:val="6"/>
  </w:num>
  <w:num w:numId="4">
    <w:abstractNumId w:val="7"/>
  </w:num>
  <w:num w:numId="5">
    <w:abstractNumId w:val="0"/>
  </w:num>
  <w:num w:numId="6">
    <w:abstractNumId w:val="9"/>
  </w:num>
  <w:num w:numId="7">
    <w:abstractNumId w:val="8"/>
  </w:num>
  <w:num w:numId="8">
    <w:abstractNumId w:val="2"/>
  </w:num>
  <w:num w:numId="9">
    <w:abstractNumId w:val="3"/>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8B4"/>
    <w:rsid w:val="001B4232"/>
    <w:rsid w:val="00274D55"/>
    <w:rsid w:val="0028308B"/>
    <w:rsid w:val="002A258E"/>
    <w:rsid w:val="002F0A46"/>
    <w:rsid w:val="00370D01"/>
    <w:rsid w:val="003A1BC1"/>
    <w:rsid w:val="003D791D"/>
    <w:rsid w:val="00406CFF"/>
    <w:rsid w:val="00592218"/>
    <w:rsid w:val="005E2256"/>
    <w:rsid w:val="006A7CDE"/>
    <w:rsid w:val="006B2976"/>
    <w:rsid w:val="006D0EC7"/>
    <w:rsid w:val="007033A0"/>
    <w:rsid w:val="00747DF8"/>
    <w:rsid w:val="0076005B"/>
    <w:rsid w:val="00767EC5"/>
    <w:rsid w:val="007940E2"/>
    <w:rsid w:val="007A298A"/>
    <w:rsid w:val="007C58A0"/>
    <w:rsid w:val="00810728"/>
    <w:rsid w:val="00812E20"/>
    <w:rsid w:val="00823565"/>
    <w:rsid w:val="00855C68"/>
    <w:rsid w:val="008A3285"/>
    <w:rsid w:val="008C5D99"/>
    <w:rsid w:val="00905BCC"/>
    <w:rsid w:val="00966260"/>
    <w:rsid w:val="00975F8B"/>
    <w:rsid w:val="00980232"/>
    <w:rsid w:val="0098558F"/>
    <w:rsid w:val="009F2AA0"/>
    <w:rsid w:val="00A1311E"/>
    <w:rsid w:val="00A51A9A"/>
    <w:rsid w:val="00AB634E"/>
    <w:rsid w:val="00AF3163"/>
    <w:rsid w:val="00B908A7"/>
    <w:rsid w:val="00BA2C31"/>
    <w:rsid w:val="00BD5B5B"/>
    <w:rsid w:val="00BD6BBC"/>
    <w:rsid w:val="00C472D1"/>
    <w:rsid w:val="00CB4F1B"/>
    <w:rsid w:val="00CD0286"/>
    <w:rsid w:val="00CD4CED"/>
    <w:rsid w:val="00D42285"/>
    <w:rsid w:val="00D85B6C"/>
    <w:rsid w:val="00E41EC1"/>
    <w:rsid w:val="00E86137"/>
    <w:rsid w:val="00ED4894"/>
    <w:rsid w:val="00F2327F"/>
    <w:rsid w:val="00F808B4"/>
    <w:rsid w:val="00FB50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40692880"/>
  <w15:chartTrackingRefBased/>
  <w15:docId w15:val="{89BB97A2-1617-4D29-9508-1BE9E7F5C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808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08B4"/>
  </w:style>
  <w:style w:type="paragraph" w:styleId="Footer">
    <w:name w:val="footer"/>
    <w:basedOn w:val="Normal"/>
    <w:link w:val="FooterChar"/>
    <w:uiPriority w:val="99"/>
    <w:unhideWhenUsed/>
    <w:rsid w:val="00F808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08B4"/>
  </w:style>
  <w:style w:type="paragraph" w:styleId="NoSpacing">
    <w:name w:val="No Spacing"/>
    <w:uiPriority w:val="1"/>
    <w:qFormat/>
    <w:rsid w:val="00F808B4"/>
    <w:pPr>
      <w:spacing w:after="0" w:line="240" w:lineRule="auto"/>
    </w:pPr>
  </w:style>
  <w:style w:type="paragraph" w:styleId="ListParagraph">
    <w:name w:val="List Paragraph"/>
    <w:basedOn w:val="Normal"/>
    <w:uiPriority w:val="34"/>
    <w:qFormat/>
    <w:rsid w:val="00FB5082"/>
    <w:pPr>
      <w:ind w:left="720"/>
      <w:contextualSpacing/>
    </w:pPr>
  </w:style>
  <w:style w:type="paragraph" w:styleId="BalloonText">
    <w:name w:val="Balloon Text"/>
    <w:basedOn w:val="Normal"/>
    <w:link w:val="BalloonTextChar"/>
    <w:uiPriority w:val="99"/>
    <w:semiHidden/>
    <w:unhideWhenUsed/>
    <w:rsid w:val="005E22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256"/>
    <w:rPr>
      <w:rFonts w:ascii="Segoe UI" w:hAnsi="Segoe UI" w:cs="Segoe UI"/>
      <w:sz w:val="18"/>
      <w:szCs w:val="18"/>
    </w:rPr>
  </w:style>
  <w:style w:type="paragraph" w:styleId="NormalWeb">
    <w:name w:val="Normal (Web)"/>
    <w:basedOn w:val="Normal"/>
    <w:rsid w:val="00E86137"/>
    <w:pPr>
      <w:spacing w:before="100" w:beforeAutospacing="1" w:after="100" w:afterAutospacing="1" w:line="240" w:lineRule="auto"/>
    </w:pPr>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BD6BBC"/>
    <w:pPr>
      <w:spacing w:after="120" w:line="480" w:lineRule="auto"/>
      <w:jc w:val="both"/>
    </w:pPr>
    <w:rPr>
      <w:rFonts w:ascii="Garamond" w:eastAsia="MS Mincho" w:hAnsi="Garamond" w:cs="Times New Roman"/>
      <w:kern w:val="18"/>
      <w:sz w:val="20"/>
      <w:szCs w:val="20"/>
    </w:rPr>
  </w:style>
  <w:style w:type="character" w:customStyle="1" w:styleId="BodyText2Char">
    <w:name w:val="Body Text 2 Char"/>
    <w:basedOn w:val="DefaultParagraphFont"/>
    <w:link w:val="BodyText2"/>
    <w:uiPriority w:val="99"/>
    <w:semiHidden/>
    <w:rsid w:val="00BD6BBC"/>
    <w:rPr>
      <w:rFonts w:ascii="Garamond" w:eastAsia="MS Mincho" w:hAnsi="Garamond" w:cs="Times New Roman"/>
      <w:kern w:val="1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606</Words>
  <Characters>3459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Lee</dc:creator>
  <cp:keywords/>
  <dc:description/>
  <cp:lastModifiedBy>Angela Hartmann</cp:lastModifiedBy>
  <cp:revision>2</cp:revision>
  <cp:lastPrinted>2017-07-24T20:52:00Z</cp:lastPrinted>
  <dcterms:created xsi:type="dcterms:W3CDTF">2019-10-16T14:26:00Z</dcterms:created>
  <dcterms:modified xsi:type="dcterms:W3CDTF">2019-10-16T14:26:00Z</dcterms:modified>
</cp:coreProperties>
</file>